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E99AD5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9A6C4D">
        <w:rPr>
          <w:rFonts w:ascii="Calibri" w:hAnsi="Calibri"/>
        </w:rPr>
        <w:t>ENAV21-13.3.2</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E19108D" w:rsidR="0080294B" w:rsidRPr="007A395D" w:rsidRDefault="0080294B" w:rsidP="00F36489">
      <w:pPr>
        <w:pStyle w:val="BodyText"/>
        <w:rPr>
          <w:b/>
        </w:rPr>
      </w:pPr>
      <w:r w:rsidRPr="007A395D">
        <w:rPr>
          <w:b/>
        </w:rPr>
        <w:t>□</w:t>
      </w:r>
      <w:r w:rsidRPr="007A395D">
        <w:t xml:space="preserve">  ARM</w:t>
      </w:r>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750C91">
        <w:rPr>
          <w:b/>
        </w:rPr>
        <w:t>x</w:t>
      </w:r>
      <w:r w:rsidRPr="007A395D">
        <w:t xml:space="preserve">  Input</w:t>
      </w:r>
    </w:p>
    <w:p w14:paraId="0BC79547" w14:textId="081C5830" w:rsidR="0080294B" w:rsidRPr="007A395D" w:rsidRDefault="00750C91" w:rsidP="00F36489">
      <w:pPr>
        <w:pStyle w:val="BodyText"/>
      </w:pPr>
      <w:r>
        <w:rPr>
          <w:b/>
        </w:rPr>
        <w:t>x</w:t>
      </w:r>
      <w:r w:rsidR="0080294B" w:rsidRPr="007A395D">
        <w:t xml:space="preserve">  ENAV</w:t>
      </w:r>
      <w:r w:rsidR="0080294B" w:rsidRPr="007A395D">
        <w:rPr>
          <w:b/>
        </w:rPr>
        <w:tab/>
      </w:r>
      <w:r w:rsidR="009A6C4D">
        <w:rPr>
          <w:b/>
        </w:rPr>
        <w:tab/>
      </w:r>
      <w:r w:rsidR="0080294B" w:rsidRPr="007A395D">
        <w:rPr>
          <w:b/>
        </w:rPr>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bookmarkStart w:id="0" w:name="_GoBack"/>
      <w:bookmarkEnd w:id="0"/>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789C6960"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9A6C4D">
        <w:t>13</w:t>
      </w:r>
    </w:p>
    <w:p w14:paraId="1AB3E246" w14:textId="630A2662"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844DCA">
        <w:t>3.1.4</w:t>
      </w:r>
      <w:r w:rsidRPr="007A395D">
        <w:t>………………………</w:t>
      </w:r>
    </w:p>
    <w:p w14:paraId="01FC5420" w14:textId="6285463C"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844DCA">
        <w:t>Stefan Gewies, Michael Hoppe</w:t>
      </w:r>
    </w:p>
    <w:p w14:paraId="60BCC120" w14:textId="77777777" w:rsidR="0080294B" w:rsidRPr="007A395D" w:rsidRDefault="0080294B" w:rsidP="00F36489">
      <w:pPr>
        <w:pStyle w:val="BodyText"/>
      </w:pPr>
    </w:p>
    <w:p w14:paraId="0BC77CB5" w14:textId="77777777" w:rsidR="00844DCA" w:rsidRDefault="00844DCA" w:rsidP="00844DCA">
      <w:pPr>
        <w:jc w:val="center"/>
        <w:rPr>
          <w:b/>
          <w:sz w:val="24"/>
          <w:szCs w:val="24"/>
          <w:lang w:val="en-US"/>
        </w:rPr>
      </w:pPr>
      <w:r>
        <w:rPr>
          <w:b/>
          <w:sz w:val="24"/>
          <w:szCs w:val="24"/>
          <w:lang w:val="en-US"/>
        </w:rPr>
        <w:t>WG5 (PNT)</w:t>
      </w:r>
    </w:p>
    <w:p w14:paraId="7F07F208" w14:textId="77777777" w:rsidR="00844DCA" w:rsidRDefault="00844DCA" w:rsidP="00844DCA">
      <w:pPr>
        <w:jc w:val="center"/>
        <w:rPr>
          <w:b/>
          <w:sz w:val="24"/>
          <w:szCs w:val="24"/>
          <w:lang w:val="en-US"/>
        </w:rPr>
      </w:pPr>
      <w:r>
        <w:rPr>
          <w:b/>
          <w:sz w:val="24"/>
          <w:szCs w:val="24"/>
          <w:lang w:val="en-US"/>
        </w:rPr>
        <w:t>I</w:t>
      </w:r>
      <w:r w:rsidRPr="005D5349">
        <w:rPr>
          <w:b/>
          <w:sz w:val="24"/>
          <w:szCs w:val="24"/>
          <w:lang w:val="en-US"/>
        </w:rPr>
        <w:t xml:space="preserve">ntersessional </w:t>
      </w:r>
      <w:r>
        <w:rPr>
          <w:b/>
          <w:sz w:val="24"/>
          <w:szCs w:val="24"/>
          <w:lang w:val="en-US"/>
        </w:rPr>
        <w:t>m</w:t>
      </w:r>
      <w:r w:rsidRPr="005D5349">
        <w:rPr>
          <w:b/>
          <w:sz w:val="24"/>
          <w:szCs w:val="24"/>
          <w:lang w:val="en-US"/>
        </w:rPr>
        <w:t>eeting</w:t>
      </w:r>
    </w:p>
    <w:p w14:paraId="6EDD2BA4" w14:textId="77777777" w:rsidR="00844DCA" w:rsidRPr="001B655D" w:rsidRDefault="00844DCA" w:rsidP="00844DCA">
      <w:pPr>
        <w:pStyle w:val="ListParagraph"/>
        <w:ind w:left="1080"/>
        <w:rPr>
          <w:b/>
          <w:sz w:val="24"/>
          <w:szCs w:val="24"/>
          <w:lang w:val="en-US"/>
        </w:rPr>
      </w:pPr>
      <w:r>
        <w:rPr>
          <w:b/>
          <w:sz w:val="24"/>
          <w:szCs w:val="24"/>
          <w:lang w:val="en-US"/>
        </w:rPr>
        <w:t>- Finalizing Guideline on Systems and Services for High Accuracy Positioning and Ranging -</w:t>
      </w:r>
    </w:p>
    <w:p w14:paraId="68B6B7D4" w14:textId="77777777" w:rsidR="00844DCA" w:rsidRDefault="00844DCA" w:rsidP="00844DCA">
      <w:pPr>
        <w:jc w:val="both"/>
        <w:rPr>
          <w:rFonts w:ascii="Times New Roman" w:hAnsi="Times New Roman" w:cs="Times New Roman"/>
          <w:sz w:val="24"/>
          <w:szCs w:val="24"/>
          <w:lang w:val="en-US"/>
        </w:rPr>
      </w:pPr>
    </w:p>
    <w:p w14:paraId="44B72DA3" w14:textId="77777777" w:rsidR="00844DCA" w:rsidRDefault="00844DCA" w:rsidP="00844DCA">
      <w:pPr>
        <w:jc w:val="both"/>
        <w:rPr>
          <w:rFonts w:ascii="Times New Roman" w:hAnsi="Times New Roman" w:cs="Times New Roman"/>
          <w:sz w:val="24"/>
          <w:szCs w:val="24"/>
          <w:lang w:val="en-US"/>
        </w:rPr>
      </w:pPr>
    </w:p>
    <w:p w14:paraId="425E9617" w14:textId="77777777" w:rsidR="00844DCA" w:rsidRDefault="00844DCA" w:rsidP="00844DCA">
      <w:pPr>
        <w:jc w:val="both"/>
        <w:rPr>
          <w:rFonts w:ascii="Times New Roman" w:hAnsi="Times New Roman" w:cs="Times New Roman"/>
          <w:sz w:val="24"/>
          <w:szCs w:val="24"/>
          <w:lang w:val="en-US"/>
        </w:rPr>
      </w:pPr>
    </w:p>
    <w:p w14:paraId="2FFDCE03" w14:textId="3960A17B" w:rsidR="00844DCA" w:rsidRPr="00605E43" w:rsidRDefault="00844DCA" w:rsidP="00844DCA">
      <w:pPr>
        <w:pStyle w:val="Heading1"/>
        <w:numPr>
          <w:ilvl w:val="0"/>
          <w:numId w:val="14"/>
        </w:numPr>
      </w:pPr>
      <w:r>
        <w:t>OverView</w:t>
      </w:r>
    </w:p>
    <w:p w14:paraId="0186F4D9" w14:textId="77777777" w:rsidR="00844DCA" w:rsidRDefault="00844DCA"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On the 12</w:t>
      </w:r>
      <w:r w:rsidRPr="003F74BF">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-14</w:t>
      </w:r>
      <w:r w:rsidRPr="00E41F72">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June 2017, an intersessional meeting was held to continue work on the draft guideline on Systems and Services for High-Accuracy Positioning and Ranging. The main task was to finalize the work on this guideline. It is planned that the guideline should become an output of IALA ENAV21. Thus, WG5 should submit a consolidated draft input document to ENAV21.</w:t>
      </w:r>
    </w:p>
    <w:p w14:paraId="316BCF6C" w14:textId="77777777" w:rsidR="00844DCA" w:rsidRDefault="00844DCA"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meeting was attended by 6 IALA members.  </w:t>
      </w:r>
    </w:p>
    <w:p w14:paraId="2611FF85" w14:textId="77777777" w:rsidR="00844DCA" w:rsidRDefault="00844DCA" w:rsidP="00844DCA">
      <w:pPr>
        <w:jc w:val="both"/>
        <w:rPr>
          <w:rFonts w:ascii="Times New Roman" w:hAnsi="Times New Roman" w:cs="Times New Roman"/>
          <w:sz w:val="24"/>
          <w:szCs w:val="24"/>
          <w:lang w:val="en-US"/>
        </w:rPr>
      </w:pPr>
    </w:p>
    <w:p w14:paraId="65C92E76" w14:textId="682A4C1A" w:rsidR="00844DCA" w:rsidRDefault="00844DCA" w:rsidP="00844DCA">
      <w:pPr>
        <w:pStyle w:val="Heading1"/>
        <w:numPr>
          <w:ilvl w:val="0"/>
          <w:numId w:val="14"/>
        </w:numPr>
      </w:pPr>
      <w:r>
        <w:t>MEETING summary</w:t>
      </w:r>
    </w:p>
    <w:p w14:paraId="10012A9F" w14:textId="77777777" w:rsidR="00844DCA" w:rsidRDefault="00844DCA" w:rsidP="00844DCA">
      <w:pPr>
        <w:jc w:val="both"/>
        <w:rPr>
          <w:rFonts w:ascii="Times New Roman" w:hAnsi="Times New Roman" w:cs="Times New Roman"/>
          <w:sz w:val="24"/>
          <w:szCs w:val="24"/>
          <w:lang w:val="en-US"/>
        </w:rPr>
      </w:pPr>
      <w:r>
        <w:rPr>
          <w:rFonts w:ascii="Times New Roman" w:hAnsi="Times New Roman" w:cs="Times New Roman"/>
          <w:sz w:val="24"/>
          <w:szCs w:val="24"/>
          <w:lang w:val="en-US"/>
        </w:rPr>
        <w:t>The intersessional WG reviewed the latest version from IALA ENAV20. The following work was conducted:</w:t>
      </w:r>
    </w:p>
    <w:p w14:paraId="17CCC036" w14:textId="77777777" w:rsidR="00844DCA" w:rsidRDefault="00844DCA" w:rsidP="00844DCA">
      <w:pPr>
        <w:pStyle w:val="ListParagraph"/>
        <w:numPr>
          <w:ilvl w:val="0"/>
          <w:numId w:val="46"/>
        </w:numPr>
        <w:spacing w:after="20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new chapter 2 “Background” was drafted to describe the general background for high-accuracy positioning and ranging systems and services.</w:t>
      </w:r>
    </w:p>
    <w:p w14:paraId="24F69A6B" w14:textId="77777777" w:rsidR="00844DCA" w:rsidRDefault="00844DCA" w:rsidP="00844DCA">
      <w:pPr>
        <w:pStyle w:val="ListParagraph"/>
        <w:numPr>
          <w:ilvl w:val="0"/>
          <w:numId w:val="46"/>
        </w:numPr>
        <w:spacing w:after="20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Chapter 1 to 5 were completely reviewed and updated. From the view of the intersessional WG these chapters are considered as finalized.</w:t>
      </w:r>
    </w:p>
    <w:p w14:paraId="238EBEF2" w14:textId="77777777" w:rsidR="00844DCA" w:rsidRDefault="00844DCA" w:rsidP="00844DCA">
      <w:pPr>
        <w:pStyle w:val="ListParagraph"/>
        <w:numPr>
          <w:ilvl w:val="0"/>
          <w:numId w:val="46"/>
        </w:numPr>
        <w:spacing w:after="20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Chapter 6 “Methods for high-accuracy positioning and ranging” were partly reviewed and updated. Further work is required to finalize sections on RTK and PPP. These sections will be updated before circulating the latest version in WG5. DLR (SG and TN) volunteered to draft these sections.</w:t>
      </w:r>
    </w:p>
    <w:p w14:paraId="3640115C" w14:textId="77777777" w:rsidR="00844DCA" w:rsidRDefault="00844DCA" w:rsidP="00844DCA">
      <w:pPr>
        <w:pStyle w:val="ListParagraph"/>
        <w:numPr>
          <w:ilvl w:val="0"/>
          <w:numId w:val="46"/>
        </w:numPr>
        <w:spacing w:after="200" w:line="276" w:lineRule="auto"/>
        <w:jc w:val="both"/>
        <w:rPr>
          <w:rFonts w:ascii="Times New Roman" w:hAnsi="Times New Roman" w:cs="Times New Roman"/>
          <w:sz w:val="24"/>
          <w:szCs w:val="24"/>
          <w:lang w:val="en-US"/>
        </w:rPr>
      </w:pPr>
      <w:r w:rsidRPr="00911C92">
        <w:rPr>
          <w:rFonts w:ascii="Times New Roman" w:hAnsi="Times New Roman" w:cs="Times New Roman"/>
          <w:sz w:val="24"/>
          <w:szCs w:val="24"/>
          <w:lang w:val="en-US"/>
        </w:rPr>
        <w:t xml:space="preserve">Chapter 7 wasn’t reviewed during the meeting. It will be </w:t>
      </w:r>
      <w:r>
        <w:rPr>
          <w:rFonts w:ascii="Times New Roman" w:hAnsi="Times New Roman" w:cs="Times New Roman"/>
          <w:sz w:val="24"/>
          <w:szCs w:val="24"/>
          <w:lang w:val="en-US"/>
        </w:rPr>
        <w:t xml:space="preserve">an </w:t>
      </w:r>
      <w:r w:rsidRPr="00911C92">
        <w:rPr>
          <w:rFonts w:ascii="Times New Roman" w:hAnsi="Times New Roman" w:cs="Times New Roman"/>
          <w:sz w:val="24"/>
          <w:szCs w:val="24"/>
          <w:lang w:val="en-US"/>
        </w:rPr>
        <w:t>action for all to review and update this section before circulating the document</w:t>
      </w:r>
      <w:r>
        <w:rPr>
          <w:rFonts w:ascii="Times New Roman" w:hAnsi="Times New Roman" w:cs="Times New Roman"/>
          <w:sz w:val="24"/>
          <w:szCs w:val="24"/>
          <w:lang w:val="en-US"/>
        </w:rPr>
        <w:t>.</w:t>
      </w:r>
    </w:p>
    <w:p w14:paraId="52E6C489" w14:textId="77777777" w:rsidR="00844DCA" w:rsidRPr="00911C92" w:rsidRDefault="00844DCA" w:rsidP="00844DCA">
      <w:pPr>
        <w:pStyle w:val="ListParagraph"/>
        <w:numPr>
          <w:ilvl w:val="0"/>
          <w:numId w:val="46"/>
        </w:numPr>
        <w:spacing w:after="200" w:line="276" w:lineRule="auto"/>
        <w:jc w:val="both"/>
        <w:rPr>
          <w:rFonts w:ascii="Times New Roman" w:hAnsi="Times New Roman" w:cs="Times New Roman"/>
          <w:sz w:val="24"/>
          <w:szCs w:val="24"/>
          <w:lang w:val="en-US"/>
        </w:rPr>
      </w:pPr>
      <w:r w:rsidRPr="00911C92">
        <w:rPr>
          <w:rFonts w:ascii="Times New Roman" w:hAnsi="Times New Roman" w:cs="Times New Roman"/>
          <w:sz w:val="24"/>
          <w:szCs w:val="24"/>
          <w:lang w:val="en-US"/>
        </w:rPr>
        <w:lastRenderedPageBreak/>
        <w:t xml:space="preserve">It was decided to move information regarding latency and update rate to an appendix. A final review of the new appendix is still required. DLR (EE) volunteered to provide a revision before circulating the latest version </w:t>
      </w:r>
      <w:r>
        <w:rPr>
          <w:rFonts w:ascii="Times New Roman" w:hAnsi="Times New Roman" w:cs="Times New Roman"/>
          <w:sz w:val="24"/>
          <w:szCs w:val="24"/>
          <w:lang w:val="en-US"/>
        </w:rPr>
        <w:t xml:space="preserve">within </w:t>
      </w:r>
      <w:r w:rsidRPr="00911C92">
        <w:rPr>
          <w:rFonts w:ascii="Times New Roman" w:hAnsi="Times New Roman" w:cs="Times New Roman"/>
          <w:sz w:val="24"/>
          <w:szCs w:val="24"/>
          <w:lang w:val="en-US"/>
        </w:rPr>
        <w:t xml:space="preserve">WG5.   </w:t>
      </w:r>
    </w:p>
    <w:p w14:paraId="7A0E9049" w14:textId="77777777" w:rsidR="00844DCA" w:rsidRDefault="00844DCA" w:rsidP="00844DCA">
      <w:pPr>
        <w:jc w:val="both"/>
        <w:rPr>
          <w:rFonts w:ascii="Times New Roman" w:hAnsi="Times New Roman" w:cs="Times New Roman"/>
          <w:b/>
          <w:sz w:val="24"/>
          <w:szCs w:val="24"/>
          <w:lang w:val="en-US"/>
        </w:rPr>
      </w:pPr>
    </w:p>
    <w:p w14:paraId="1BC23C87" w14:textId="77777777" w:rsidR="00844DCA" w:rsidRPr="00844DCA" w:rsidRDefault="00844DCA" w:rsidP="00844DCA">
      <w:pPr>
        <w:pStyle w:val="Heading1"/>
        <w:numPr>
          <w:ilvl w:val="0"/>
          <w:numId w:val="14"/>
        </w:numPr>
      </w:pPr>
      <w:r w:rsidRPr="00844DCA">
        <w:t>Actions</w:t>
      </w:r>
    </w:p>
    <w:p w14:paraId="0598D233" w14:textId="77777777" w:rsidR="00844DCA" w:rsidRPr="001452E2" w:rsidRDefault="00844DCA" w:rsidP="00844DCA">
      <w:pPr>
        <w:pStyle w:val="ListParagraph"/>
        <w:numPr>
          <w:ilvl w:val="0"/>
          <w:numId w:val="45"/>
        </w:numPr>
        <w:spacing w:after="200" w:line="276" w:lineRule="auto"/>
        <w:jc w:val="both"/>
        <w:rPr>
          <w:rFonts w:ascii="Times New Roman" w:hAnsi="Times New Roman" w:cs="Times New Roman"/>
          <w:sz w:val="24"/>
          <w:szCs w:val="24"/>
          <w:lang w:val="en-US"/>
        </w:rPr>
      </w:pPr>
      <w:r w:rsidRPr="001452E2">
        <w:rPr>
          <w:rFonts w:ascii="Times New Roman" w:hAnsi="Times New Roman" w:cs="Times New Roman"/>
          <w:sz w:val="24"/>
          <w:szCs w:val="24"/>
          <w:lang w:val="en-US"/>
        </w:rPr>
        <w:t>Circulation of latest draft within WG5 together with the</w:t>
      </w:r>
      <w:r>
        <w:rPr>
          <w:rFonts w:ascii="Times New Roman" w:hAnsi="Times New Roman" w:cs="Times New Roman"/>
          <w:sz w:val="24"/>
          <w:szCs w:val="24"/>
          <w:lang w:val="en-US"/>
        </w:rPr>
        <w:t xml:space="preserve"> meeting</w:t>
      </w:r>
      <w:r w:rsidRPr="001452E2">
        <w:rPr>
          <w:rFonts w:ascii="Times New Roman" w:hAnsi="Times New Roman" w:cs="Times New Roman"/>
          <w:sz w:val="24"/>
          <w:szCs w:val="24"/>
          <w:lang w:val="en-US"/>
        </w:rPr>
        <w:t xml:space="preserve"> report </w:t>
      </w:r>
      <w:r>
        <w:rPr>
          <w:rFonts w:ascii="Times New Roman" w:hAnsi="Times New Roman" w:cs="Times New Roman"/>
          <w:sz w:val="24"/>
          <w:szCs w:val="24"/>
          <w:lang w:val="en-US"/>
        </w:rPr>
        <w:br/>
        <w:t xml:space="preserve">until </w:t>
      </w:r>
      <w:r w:rsidRPr="001452E2">
        <w:rPr>
          <w:rFonts w:ascii="Times New Roman" w:hAnsi="Times New Roman" w:cs="Times New Roman"/>
          <w:sz w:val="24"/>
          <w:szCs w:val="24"/>
          <w:lang w:val="en-US"/>
        </w:rPr>
        <w:t>End of June 2017</w:t>
      </w:r>
      <w:r>
        <w:rPr>
          <w:rFonts w:ascii="Times New Roman" w:hAnsi="Times New Roman" w:cs="Times New Roman"/>
          <w:sz w:val="24"/>
          <w:szCs w:val="24"/>
          <w:lang w:val="en-US"/>
        </w:rPr>
        <w:t>.</w:t>
      </w:r>
      <w:r w:rsidRPr="001452E2">
        <w:rPr>
          <w:rFonts w:ascii="Times New Roman" w:hAnsi="Times New Roman" w:cs="Times New Roman"/>
          <w:sz w:val="24"/>
          <w:szCs w:val="24"/>
          <w:lang w:val="en-US"/>
        </w:rPr>
        <w:t xml:space="preserve"> </w:t>
      </w:r>
    </w:p>
    <w:p w14:paraId="52C4A91F" w14:textId="77777777" w:rsidR="00844DCA" w:rsidRPr="001452E2" w:rsidRDefault="00844DCA" w:rsidP="00844DCA">
      <w:pPr>
        <w:pStyle w:val="ListParagraph"/>
        <w:numPr>
          <w:ilvl w:val="0"/>
          <w:numId w:val="45"/>
        </w:numPr>
        <w:spacing w:after="200" w:line="276" w:lineRule="auto"/>
        <w:jc w:val="both"/>
        <w:rPr>
          <w:rFonts w:ascii="Times New Roman" w:hAnsi="Times New Roman" w:cs="Times New Roman"/>
          <w:sz w:val="24"/>
          <w:szCs w:val="24"/>
          <w:lang w:val="en-US"/>
        </w:rPr>
      </w:pPr>
      <w:r w:rsidRPr="001452E2">
        <w:rPr>
          <w:rFonts w:ascii="Times New Roman" w:hAnsi="Times New Roman" w:cs="Times New Roman"/>
          <w:sz w:val="24"/>
          <w:szCs w:val="24"/>
          <w:lang w:val="en-US"/>
        </w:rPr>
        <w:t>WG5</w:t>
      </w:r>
      <w:r>
        <w:rPr>
          <w:rFonts w:ascii="Times New Roman" w:hAnsi="Times New Roman" w:cs="Times New Roman"/>
          <w:sz w:val="24"/>
          <w:szCs w:val="24"/>
          <w:lang w:val="en-US"/>
        </w:rPr>
        <w:t>,</w:t>
      </w:r>
      <w:r w:rsidRPr="001452E2">
        <w:rPr>
          <w:rFonts w:ascii="Times New Roman" w:hAnsi="Times New Roman" w:cs="Times New Roman"/>
          <w:sz w:val="24"/>
          <w:szCs w:val="24"/>
          <w:lang w:val="en-US"/>
        </w:rPr>
        <w:t xml:space="preserve"> to provide comments to the existing draft guideline until End July 2017</w:t>
      </w:r>
      <w:r>
        <w:rPr>
          <w:rFonts w:ascii="Times New Roman" w:hAnsi="Times New Roman" w:cs="Times New Roman"/>
          <w:sz w:val="24"/>
          <w:szCs w:val="24"/>
          <w:lang w:val="en-US"/>
        </w:rPr>
        <w:t>.</w:t>
      </w:r>
      <w:r w:rsidRPr="001452E2">
        <w:rPr>
          <w:rFonts w:ascii="Times New Roman" w:hAnsi="Times New Roman" w:cs="Times New Roman"/>
          <w:sz w:val="24"/>
          <w:szCs w:val="24"/>
          <w:lang w:val="en-US"/>
        </w:rPr>
        <w:t xml:space="preserve"> </w:t>
      </w:r>
    </w:p>
    <w:p w14:paraId="5D98E5BF" w14:textId="156093FD" w:rsidR="00844DCA" w:rsidRPr="00844DCA" w:rsidRDefault="00844DCA" w:rsidP="00844DCA">
      <w:pPr>
        <w:pStyle w:val="ListParagraph"/>
        <w:numPr>
          <w:ilvl w:val="0"/>
          <w:numId w:val="45"/>
        </w:numPr>
        <w:spacing w:after="200" w:line="276" w:lineRule="auto"/>
        <w:jc w:val="both"/>
        <w:rPr>
          <w:rFonts w:ascii="Times New Roman" w:hAnsi="Times New Roman" w:cs="Times New Roman"/>
          <w:b/>
          <w:sz w:val="24"/>
          <w:szCs w:val="24"/>
          <w:lang w:val="en-US"/>
        </w:rPr>
      </w:pPr>
      <w:r w:rsidRPr="001452E2">
        <w:rPr>
          <w:rFonts w:ascii="Times New Roman" w:hAnsi="Times New Roman" w:cs="Times New Roman"/>
          <w:sz w:val="24"/>
          <w:szCs w:val="24"/>
          <w:lang w:val="en-US"/>
        </w:rPr>
        <w:t>Submission of final draft as an input document to ENAV21 (Mid-August 2017)</w:t>
      </w:r>
    </w:p>
    <w:p w14:paraId="78A68412" w14:textId="77777777" w:rsidR="00844DCA" w:rsidRPr="00B3583E" w:rsidRDefault="00844DCA" w:rsidP="00844DCA">
      <w:pPr>
        <w:pStyle w:val="ListParagraph"/>
        <w:spacing w:after="200" w:line="276" w:lineRule="auto"/>
        <w:jc w:val="both"/>
        <w:rPr>
          <w:rFonts w:ascii="Times New Roman" w:hAnsi="Times New Roman" w:cs="Times New Roman"/>
          <w:b/>
          <w:sz w:val="24"/>
          <w:szCs w:val="24"/>
          <w:lang w:val="en-US"/>
        </w:rPr>
      </w:pPr>
    </w:p>
    <w:p w14:paraId="4DB2C845" w14:textId="77777777" w:rsidR="00844DCA" w:rsidRPr="00844DCA" w:rsidRDefault="00844DCA" w:rsidP="00844DCA">
      <w:pPr>
        <w:pStyle w:val="Heading1"/>
        <w:numPr>
          <w:ilvl w:val="0"/>
          <w:numId w:val="14"/>
        </w:numPr>
      </w:pPr>
      <w:r w:rsidRPr="00844DCA">
        <w:t>List of attendees:</w:t>
      </w:r>
    </w:p>
    <w:p w14:paraId="5EB9F0E2" w14:textId="77777777" w:rsidR="00844DCA" w:rsidRPr="00911C92" w:rsidRDefault="00844DCA" w:rsidP="00844DCA">
      <w:pPr>
        <w:jc w:val="both"/>
        <w:rPr>
          <w:rFonts w:ascii="Times New Roman" w:hAnsi="Times New Roman" w:cs="Times New Roman"/>
          <w:sz w:val="24"/>
          <w:szCs w:val="24"/>
          <w:lang w:val="en-US"/>
        </w:rPr>
      </w:pPr>
      <w:r w:rsidRPr="00911C92">
        <w:rPr>
          <w:rFonts w:ascii="Times New Roman" w:hAnsi="Times New Roman" w:cs="Times New Roman"/>
          <w:sz w:val="24"/>
          <w:szCs w:val="24"/>
          <w:lang w:val="en-US"/>
        </w:rPr>
        <w:t>Stefan Gewies</w:t>
      </w:r>
      <w:r w:rsidRPr="00911C92">
        <w:rPr>
          <w:rFonts w:ascii="Times New Roman" w:hAnsi="Times New Roman" w:cs="Times New Roman"/>
          <w:sz w:val="24"/>
          <w:szCs w:val="24"/>
          <w:lang w:val="en-US"/>
        </w:rPr>
        <w:tab/>
      </w:r>
      <w:r w:rsidRPr="00911C92">
        <w:rPr>
          <w:rFonts w:ascii="Times New Roman" w:hAnsi="Times New Roman" w:cs="Times New Roman"/>
          <w:sz w:val="24"/>
          <w:szCs w:val="24"/>
          <w:lang w:val="en-US"/>
        </w:rPr>
        <w:tab/>
        <w:t>DLR, Germany</w:t>
      </w:r>
    </w:p>
    <w:p w14:paraId="1E5AE492" w14:textId="77777777" w:rsidR="00844DCA" w:rsidRPr="00911C92" w:rsidRDefault="00844DCA" w:rsidP="00844DCA">
      <w:pPr>
        <w:jc w:val="both"/>
        <w:rPr>
          <w:rFonts w:ascii="Times New Roman" w:hAnsi="Times New Roman" w:cs="Times New Roman"/>
          <w:sz w:val="24"/>
          <w:szCs w:val="24"/>
          <w:lang w:val="en-US"/>
        </w:rPr>
      </w:pPr>
      <w:r w:rsidRPr="00911C92">
        <w:rPr>
          <w:rFonts w:ascii="Times New Roman" w:hAnsi="Times New Roman" w:cs="Times New Roman"/>
          <w:sz w:val="24"/>
          <w:szCs w:val="24"/>
          <w:lang w:val="en-US"/>
        </w:rPr>
        <w:t>Thoralf Noak</w:t>
      </w:r>
      <w:r w:rsidRPr="00911C92">
        <w:rPr>
          <w:rFonts w:ascii="Times New Roman" w:hAnsi="Times New Roman" w:cs="Times New Roman"/>
          <w:sz w:val="24"/>
          <w:szCs w:val="24"/>
          <w:lang w:val="en-US"/>
        </w:rPr>
        <w:tab/>
      </w:r>
      <w:r w:rsidRPr="00911C92">
        <w:rPr>
          <w:rFonts w:ascii="Times New Roman" w:hAnsi="Times New Roman" w:cs="Times New Roman"/>
          <w:sz w:val="24"/>
          <w:szCs w:val="24"/>
          <w:lang w:val="en-US"/>
        </w:rPr>
        <w:tab/>
        <w:t>DLR, Germany</w:t>
      </w:r>
    </w:p>
    <w:p w14:paraId="1FFF800B" w14:textId="77777777" w:rsidR="00844DCA" w:rsidRPr="00911C92" w:rsidRDefault="00844DCA" w:rsidP="00844DCA">
      <w:pPr>
        <w:jc w:val="both"/>
        <w:rPr>
          <w:rFonts w:ascii="Times New Roman" w:hAnsi="Times New Roman" w:cs="Times New Roman"/>
          <w:sz w:val="24"/>
          <w:szCs w:val="24"/>
          <w:lang w:val="en-US"/>
        </w:rPr>
      </w:pPr>
      <w:r w:rsidRPr="00911C92">
        <w:rPr>
          <w:rFonts w:ascii="Times New Roman" w:hAnsi="Times New Roman" w:cs="Times New Roman"/>
          <w:sz w:val="24"/>
          <w:szCs w:val="24"/>
          <w:lang w:val="en-US"/>
        </w:rPr>
        <w:t>Evelin Engler</w:t>
      </w:r>
      <w:r w:rsidRPr="00911C92">
        <w:rPr>
          <w:rFonts w:ascii="Times New Roman" w:hAnsi="Times New Roman" w:cs="Times New Roman"/>
          <w:sz w:val="24"/>
          <w:szCs w:val="24"/>
          <w:lang w:val="en-US"/>
        </w:rPr>
        <w:tab/>
      </w:r>
      <w:r w:rsidRPr="00911C92">
        <w:rPr>
          <w:rFonts w:ascii="Times New Roman" w:hAnsi="Times New Roman" w:cs="Times New Roman"/>
          <w:sz w:val="24"/>
          <w:szCs w:val="24"/>
          <w:lang w:val="en-US"/>
        </w:rPr>
        <w:tab/>
        <w:t>DLR, Germany</w:t>
      </w:r>
    </w:p>
    <w:p w14:paraId="27DFF905" w14:textId="77777777" w:rsidR="00844DCA" w:rsidRDefault="00844DCA" w:rsidP="00844DCA">
      <w:pPr>
        <w:jc w:val="both"/>
        <w:rPr>
          <w:rFonts w:ascii="Times New Roman" w:hAnsi="Times New Roman" w:cs="Times New Roman"/>
          <w:sz w:val="24"/>
          <w:szCs w:val="24"/>
          <w:lang w:val="en-US"/>
        </w:rPr>
      </w:pPr>
      <w:r w:rsidRPr="00911C92">
        <w:rPr>
          <w:rFonts w:ascii="Times New Roman" w:hAnsi="Times New Roman" w:cs="Times New Roman"/>
          <w:sz w:val="24"/>
          <w:szCs w:val="24"/>
          <w:lang w:val="en-US"/>
        </w:rPr>
        <w:t>Peter Douglas</w:t>
      </w:r>
      <w:r w:rsidRPr="00911C92">
        <w:rPr>
          <w:rFonts w:ascii="Times New Roman" w:hAnsi="Times New Roman" w:cs="Times New Roman"/>
          <w:sz w:val="24"/>
          <w:szCs w:val="24"/>
          <w:lang w:val="en-US"/>
        </w:rPr>
        <w:tab/>
      </w:r>
      <w:r w:rsidRPr="00911C92">
        <w:rPr>
          <w:rFonts w:ascii="Times New Roman" w:hAnsi="Times New Roman" w:cs="Times New Roman"/>
          <w:sz w:val="24"/>
          <w:szCs w:val="24"/>
          <w:lang w:val="en-US"/>
        </w:rPr>
        <w:tab/>
      </w:r>
      <w:r>
        <w:rPr>
          <w:rFonts w:ascii="Times New Roman" w:hAnsi="Times New Roman" w:cs="Times New Roman"/>
          <w:sz w:val="24"/>
          <w:szCs w:val="24"/>
          <w:lang w:val="en-US"/>
        </w:rPr>
        <w:t>NLB,</w:t>
      </w:r>
      <w:r w:rsidRPr="00911C92">
        <w:rPr>
          <w:rFonts w:ascii="Times New Roman" w:hAnsi="Times New Roman" w:cs="Times New Roman"/>
          <w:sz w:val="24"/>
          <w:szCs w:val="24"/>
          <w:lang w:val="en-US"/>
        </w:rPr>
        <w:tab/>
      </w:r>
      <w:r>
        <w:rPr>
          <w:rFonts w:ascii="Times New Roman" w:hAnsi="Times New Roman" w:cs="Times New Roman"/>
          <w:sz w:val="24"/>
          <w:szCs w:val="24"/>
          <w:lang w:val="en-US"/>
        </w:rPr>
        <w:t>Scotland</w:t>
      </w:r>
    </w:p>
    <w:p w14:paraId="5660F22E" w14:textId="77777777" w:rsidR="00844DCA" w:rsidRPr="00911C92" w:rsidRDefault="00844DCA" w:rsidP="00844DCA">
      <w:pPr>
        <w:jc w:val="both"/>
        <w:rPr>
          <w:rFonts w:ascii="Times New Roman" w:hAnsi="Times New Roman" w:cs="Times New Roman"/>
          <w:sz w:val="24"/>
          <w:szCs w:val="24"/>
          <w:lang w:val="en-US"/>
        </w:rPr>
      </w:pPr>
      <w:r w:rsidRPr="00911C92">
        <w:rPr>
          <w:rFonts w:ascii="Times New Roman" w:hAnsi="Times New Roman" w:cs="Times New Roman"/>
          <w:sz w:val="24"/>
          <w:szCs w:val="24"/>
          <w:lang w:val="en-US"/>
        </w:rPr>
        <w:t>Jesper Backstedt</w:t>
      </w:r>
      <w:r w:rsidRPr="00911C92">
        <w:rPr>
          <w:rFonts w:ascii="Times New Roman" w:hAnsi="Times New Roman" w:cs="Times New Roman"/>
          <w:sz w:val="24"/>
          <w:szCs w:val="24"/>
          <w:lang w:val="en-US"/>
        </w:rPr>
        <w:tab/>
      </w:r>
      <w:r>
        <w:rPr>
          <w:rFonts w:ascii="Times New Roman" w:hAnsi="Times New Roman" w:cs="Times New Roman"/>
          <w:sz w:val="24"/>
          <w:szCs w:val="24"/>
          <w:lang w:val="en-US"/>
        </w:rPr>
        <w:t>SMA</w:t>
      </w:r>
      <w:r w:rsidRPr="00911C92">
        <w:rPr>
          <w:rFonts w:ascii="Times New Roman" w:hAnsi="Times New Roman" w:cs="Times New Roman"/>
          <w:sz w:val="24"/>
          <w:szCs w:val="24"/>
          <w:lang w:val="en-US"/>
        </w:rPr>
        <w:t>, Sweden</w:t>
      </w:r>
    </w:p>
    <w:p w14:paraId="6037C5D8" w14:textId="77777777" w:rsidR="00844DCA" w:rsidRPr="00911C92" w:rsidRDefault="00844DCA" w:rsidP="00844DCA">
      <w:pPr>
        <w:jc w:val="both"/>
        <w:rPr>
          <w:rFonts w:ascii="Times New Roman" w:hAnsi="Times New Roman" w:cs="Times New Roman"/>
          <w:sz w:val="24"/>
          <w:szCs w:val="24"/>
          <w:lang w:val="en-US"/>
        </w:rPr>
      </w:pPr>
      <w:r w:rsidRPr="00911C92">
        <w:rPr>
          <w:rFonts w:ascii="Times New Roman" w:hAnsi="Times New Roman" w:cs="Times New Roman"/>
          <w:sz w:val="24"/>
          <w:szCs w:val="24"/>
          <w:lang w:val="en-US"/>
        </w:rPr>
        <w:t>Michael Hoppe</w:t>
      </w:r>
      <w:r w:rsidRPr="00911C92">
        <w:rPr>
          <w:rFonts w:ascii="Times New Roman" w:hAnsi="Times New Roman" w:cs="Times New Roman"/>
          <w:sz w:val="24"/>
          <w:szCs w:val="24"/>
          <w:lang w:val="en-US"/>
        </w:rPr>
        <w:tab/>
        <w:t>WSV, Germany</w:t>
      </w:r>
    </w:p>
    <w:p w14:paraId="56ADE854" w14:textId="77777777" w:rsidR="00844DCA" w:rsidRPr="00911C92" w:rsidRDefault="00844DCA" w:rsidP="00844DCA">
      <w:pPr>
        <w:jc w:val="both"/>
        <w:rPr>
          <w:rFonts w:ascii="Times New Roman" w:hAnsi="Times New Roman" w:cs="Times New Roman"/>
          <w:sz w:val="24"/>
          <w:szCs w:val="24"/>
          <w:lang w:val="en-US"/>
        </w:rPr>
      </w:pPr>
    </w:p>
    <w:p w14:paraId="0F258596" w14:textId="5879F254" w:rsidR="00A446C9" w:rsidRPr="00605E43" w:rsidRDefault="00A446C9" w:rsidP="00844DCA">
      <w:pPr>
        <w:pStyle w:val="Heading1"/>
        <w:numPr>
          <w:ilvl w:val="0"/>
          <w:numId w:val="0"/>
        </w:numPr>
        <w:ind w:left="567"/>
      </w:pPr>
    </w:p>
    <w:sectPr w:rsidR="00A446C9" w:rsidRPr="00605E43"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55B5E" w14:textId="77777777" w:rsidR="00FD1C4F" w:rsidRDefault="00FD1C4F" w:rsidP="00362CD9">
      <w:r>
        <w:separator/>
      </w:r>
    </w:p>
  </w:endnote>
  <w:endnote w:type="continuationSeparator" w:id="0">
    <w:p w14:paraId="302B336A" w14:textId="77777777" w:rsidR="00FD1C4F" w:rsidRDefault="00FD1C4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A6C4D">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79B2D" w14:textId="77777777" w:rsidR="00FD1C4F" w:rsidRDefault="00FD1C4F" w:rsidP="00362CD9">
      <w:r>
        <w:separator/>
      </w:r>
    </w:p>
  </w:footnote>
  <w:footnote w:type="continuationSeparator" w:id="0">
    <w:p w14:paraId="4058BF70" w14:textId="77777777" w:rsidR="00FD1C4F" w:rsidRDefault="00FD1C4F"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Input papers should be assigned to a work task as listed in the Committee work plan which is available in  input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FD1C4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D1C4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FD1C4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3E458F"/>
    <w:multiLevelType w:val="hybridMultilevel"/>
    <w:tmpl w:val="7158DB46"/>
    <w:lvl w:ilvl="0" w:tplc="BD9480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A9A555B"/>
    <w:multiLevelType w:val="hybridMultilevel"/>
    <w:tmpl w:val="5EC66292"/>
    <w:lvl w:ilvl="0" w:tplc="FD1803D4">
      <w:start w:val="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5"/>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5"/>
  </w:num>
  <w:num w:numId="46">
    <w:abstractNumId w:val="3"/>
  </w:num>
  <w:num w:numId="47">
    <w:abstractNumId w:val="6"/>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53C0A"/>
    <w:rsid w:val="00070C13"/>
    <w:rsid w:val="000715C9"/>
    <w:rsid w:val="00084F33"/>
    <w:rsid w:val="000A77A7"/>
    <w:rsid w:val="000B1707"/>
    <w:rsid w:val="000C1160"/>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E5391"/>
    <w:rsid w:val="003F2918"/>
    <w:rsid w:val="003F430E"/>
    <w:rsid w:val="0041088C"/>
    <w:rsid w:val="00415EA7"/>
    <w:rsid w:val="00420A38"/>
    <w:rsid w:val="00431B19"/>
    <w:rsid w:val="004604A6"/>
    <w:rsid w:val="004661AD"/>
    <w:rsid w:val="004B1D3C"/>
    <w:rsid w:val="004D1D85"/>
    <w:rsid w:val="004D3C3A"/>
    <w:rsid w:val="004E1CD1"/>
    <w:rsid w:val="005107EB"/>
    <w:rsid w:val="00521345"/>
    <w:rsid w:val="00526DF0"/>
    <w:rsid w:val="0054434D"/>
    <w:rsid w:val="00545CC4"/>
    <w:rsid w:val="00551FFF"/>
    <w:rsid w:val="005607A2"/>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91FD0"/>
    <w:rsid w:val="00692148"/>
    <w:rsid w:val="006A1A1E"/>
    <w:rsid w:val="006A7E45"/>
    <w:rsid w:val="006C5948"/>
    <w:rsid w:val="006D454A"/>
    <w:rsid w:val="006E0213"/>
    <w:rsid w:val="006F2A74"/>
    <w:rsid w:val="006F4F07"/>
    <w:rsid w:val="007118F5"/>
    <w:rsid w:val="00712AA4"/>
    <w:rsid w:val="007146C4"/>
    <w:rsid w:val="00721AA1"/>
    <w:rsid w:val="00724B67"/>
    <w:rsid w:val="00750C91"/>
    <w:rsid w:val="007547F8"/>
    <w:rsid w:val="00765622"/>
    <w:rsid w:val="00770B6C"/>
    <w:rsid w:val="00783FEA"/>
    <w:rsid w:val="007A395D"/>
    <w:rsid w:val="007A4480"/>
    <w:rsid w:val="007C346C"/>
    <w:rsid w:val="0080294B"/>
    <w:rsid w:val="00817013"/>
    <w:rsid w:val="0082480E"/>
    <w:rsid w:val="00844DCA"/>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9A6C4D"/>
    <w:rsid w:val="00A0389B"/>
    <w:rsid w:val="00A33AE9"/>
    <w:rsid w:val="00A446C9"/>
    <w:rsid w:val="00A635D6"/>
    <w:rsid w:val="00A8553A"/>
    <w:rsid w:val="00A93AED"/>
    <w:rsid w:val="00AE1319"/>
    <w:rsid w:val="00AE34BB"/>
    <w:rsid w:val="00AF7D70"/>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31E5C"/>
    <w:rsid w:val="00E44DD2"/>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50B0D"/>
    <w:rsid w:val="00F60608"/>
    <w:rsid w:val="00F62217"/>
    <w:rsid w:val="00FB17A9"/>
    <w:rsid w:val="00FB527C"/>
    <w:rsid w:val="00FB6F75"/>
    <w:rsid w:val="00FC0EB3"/>
    <w:rsid w:val="00FD1C4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6DBC2002-4737-46C7-8096-A57D9A833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50A47-905D-4CA1-85A2-EE040D38D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2028</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WSA Koblenz</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2017-06-23T12:12:00Z</dcterms:created>
  <dcterms:modified xsi:type="dcterms:W3CDTF">2017-08-29T10:54:00Z</dcterms:modified>
</cp:coreProperties>
</file>